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CE2F73" w:rsidRDefault="007B7A39" w:rsidP="007B7A3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E2F73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CE2F73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CE2F73" w:rsidRDefault="007B7A39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Kod modułu: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2D42A7">
            <w:pPr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Nazwa przedmiotu: </w:t>
            </w:r>
            <w:r w:rsidR="00A80FBA">
              <w:rPr>
                <w:b/>
                <w:sz w:val="24"/>
                <w:szCs w:val="24"/>
              </w:rPr>
              <w:t>Prawo prasowe i autorskie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E2F73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Kod przedmiotu:</w:t>
            </w:r>
            <w:r w:rsidRPr="00CE2F73">
              <w:rPr>
                <w:sz w:val="24"/>
                <w:szCs w:val="24"/>
              </w:rPr>
              <w:tab/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Nazwa jednostki prowadzącej przedmiot / moduł:</w:t>
            </w:r>
          </w:p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Nazwa kierunku:</w:t>
            </w:r>
            <w:r w:rsidR="002D42A7">
              <w:rPr>
                <w:sz w:val="24"/>
                <w:szCs w:val="24"/>
              </w:rPr>
              <w:t xml:space="preserve"> </w:t>
            </w:r>
            <w:r w:rsidRPr="00CE2F73">
              <w:rPr>
                <w:b/>
                <w:sz w:val="24"/>
                <w:szCs w:val="24"/>
              </w:rPr>
              <w:t>filologia polska</w:t>
            </w:r>
          </w:p>
          <w:p w:rsidR="002D42A7" w:rsidRPr="002D42A7" w:rsidRDefault="002D42A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Forma studiów:</w:t>
            </w:r>
          </w:p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Profil kształcenia:</w:t>
            </w:r>
          </w:p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Poziom kształcenia:</w:t>
            </w:r>
          </w:p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Rok / semestr: </w:t>
            </w:r>
          </w:p>
          <w:p w:rsidR="00F764D2" w:rsidRPr="00CE2F73" w:rsidRDefault="009A5EA1" w:rsidP="009A5EA1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Status przedmiotu /modułu:</w:t>
            </w:r>
          </w:p>
          <w:p w:rsidR="00F764D2" w:rsidRPr="00CE2F73" w:rsidRDefault="00220076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Język przedmiotu / modułu:</w:t>
            </w:r>
          </w:p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polski</w:t>
            </w:r>
            <w:r w:rsidRPr="00CE2F73">
              <w:rPr>
                <w:sz w:val="24"/>
                <w:szCs w:val="24"/>
              </w:rPr>
              <w:t xml:space="preserve"> 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inne </w:t>
            </w:r>
            <w:r w:rsidRPr="00CE2F73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9A5EA1" w:rsidP="009A5EA1">
            <w:pPr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F127E" w:rsidRPr="00CE2F73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CE2F73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E2F73" w:rsidRDefault="00FE7FBC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mgr Rafał Gruchalski</w:t>
            </w:r>
          </w:p>
          <w:p w:rsidR="00F764D2" w:rsidRPr="00CE2F73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CE2F73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Prowadzący zajęcia</w:t>
            </w:r>
          </w:p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CE2F73" w:rsidRDefault="00FE7FBC" w:rsidP="00FE7FB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mgr Rafał Gruchalski</w:t>
            </w:r>
          </w:p>
          <w:p w:rsidR="00F764D2" w:rsidRPr="00CE2F73" w:rsidRDefault="00F764D2" w:rsidP="00220076">
            <w:pPr>
              <w:rPr>
                <w:sz w:val="24"/>
                <w:szCs w:val="24"/>
              </w:rPr>
            </w:pPr>
          </w:p>
        </w:tc>
      </w:tr>
      <w:tr w:rsidR="009A5EA1" w:rsidRPr="00CE2F73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 Zapoznanie studentów z podstawowymi pojęciami z zakresu prawa prasowego, w tym w szczególności nacisk na aspekty prawne związane z działalnością dziennikarską.</w:t>
            </w:r>
          </w:p>
        </w:tc>
      </w:tr>
      <w:tr w:rsidR="009A5EA1" w:rsidRPr="00CE2F73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Wymagania wstępn</w:t>
            </w:r>
            <w:r w:rsidR="007B7A39">
              <w:rPr>
                <w:sz w:val="24"/>
                <w:szCs w:val="24"/>
              </w:rPr>
              <w:t>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E67E2C">
            <w:pPr>
              <w:snapToGrid w:val="0"/>
              <w:rPr>
                <w:sz w:val="24"/>
                <w:szCs w:val="24"/>
              </w:rPr>
            </w:pPr>
          </w:p>
          <w:p w:rsidR="009A5EA1" w:rsidRPr="00CE2F73" w:rsidRDefault="009A5EA1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brak</w:t>
            </w:r>
          </w:p>
        </w:tc>
      </w:tr>
    </w:tbl>
    <w:p w:rsidR="00F764D2" w:rsidRPr="00CE2F73" w:rsidRDefault="00F764D2" w:rsidP="00F764D2">
      <w:pPr>
        <w:rPr>
          <w:sz w:val="24"/>
          <w:szCs w:val="24"/>
        </w:rPr>
      </w:pPr>
    </w:p>
    <w:p w:rsidR="00EF127E" w:rsidRPr="00CE2F73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CE2F73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EFEKTY UCZENIA SIĘ</w:t>
            </w:r>
          </w:p>
        </w:tc>
      </w:tr>
      <w:tr w:rsidR="00A80FBA" w:rsidRPr="00CE2F7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80FBA" w:rsidRPr="00A80FBA" w:rsidRDefault="00A80FBA" w:rsidP="00E6595D">
            <w:pPr>
              <w:rPr>
                <w:rFonts w:ascii="Cambria" w:hAnsi="Cambria"/>
                <w:sz w:val="24"/>
                <w:szCs w:val="24"/>
              </w:rPr>
            </w:pPr>
            <w:r w:rsidRPr="00A80FB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0FBA" w:rsidRPr="00A80FBA" w:rsidRDefault="00A80FB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80FB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0FBA" w:rsidRPr="00A80FBA" w:rsidRDefault="00A80FBA" w:rsidP="00E6595D">
            <w:pPr>
              <w:jc w:val="center"/>
              <w:rPr>
                <w:sz w:val="22"/>
                <w:szCs w:val="22"/>
              </w:rPr>
            </w:pPr>
            <w:r w:rsidRPr="00A80FBA">
              <w:rPr>
                <w:sz w:val="22"/>
                <w:szCs w:val="22"/>
              </w:rPr>
              <w:t xml:space="preserve">Kod kierunkowego efektu </w:t>
            </w:r>
          </w:p>
          <w:p w:rsidR="00A80FBA" w:rsidRPr="00A80FBA" w:rsidRDefault="00A80FB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80FBA">
              <w:rPr>
                <w:sz w:val="22"/>
                <w:szCs w:val="22"/>
              </w:rPr>
              <w:t>uczenia się</w:t>
            </w:r>
          </w:p>
        </w:tc>
      </w:tr>
      <w:tr w:rsidR="00F764D2" w:rsidRPr="00CE2F73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 xml:space="preserve">Wiedza </w:t>
            </w:r>
            <w:r w:rsidRPr="00CE2F73">
              <w:rPr>
                <w:sz w:val="24"/>
                <w:szCs w:val="24"/>
              </w:rPr>
              <w:t>(</w:t>
            </w:r>
            <w:r w:rsidRPr="00CE2F73">
              <w:rPr>
                <w:i/>
                <w:sz w:val="24"/>
                <w:szCs w:val="24"/>
              </w:rPr>
              <w:t>Ma wiedzę w zakresie…</w:t>
            </w:r>
            <w:r w:rsidRPr="00CE2F73">
              <w:rPr>
                <w:sz w:val="24"/>
                <w:szCs w:val="24"/>
              </w:rPr>
              <w:t>)</w:t>
            </w:r>
          </w:p>
        </w:tc>
      </w:tr>
      <w:tr w:rsidR="009A5EA1" w:rsidRPr="00CE2F7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A5EA1" w:rsidRPr="00CE2F73" w:rsidRDefault="009A5EA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CE2F73">
              <w:rPr>
                <w:rFonts w:ascii="Times New Roman" w:hAnsi="Times New Roman"/>
              </w:rPr>
              <w:t>Ma podstawową wiedzę i operuje podstawową terminologią z zakresu prawa własności intelektualnej, w szczególności prawa autorskiego i prasowego oraz stosuje zasady tego prawa.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</w:p>
          <w:p w:rsidR="009A5EA1" w:rsidRPr="00CE2F73" w:rsidRDefault="004D255C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K1P_W15</w:t>
            </w:r>
          </w:p>
          <w:p w:rsidR="009A5EA1" w:rsidRPr="00CE2F73" w:rsidRDefault="009A5EA1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9A5EA1" w:rsidRPr="00CE2F73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 xml:space="preserve">Umiejętności </w:t>
            </w:r>
            <w:r w:rsidRPr="00CE2F73">
              <w:rPr>
                <w:sz w:val="24"/>
                <w:szCs w:val="24"/>
              </w:rPr>
              <w:t>(</w:t>
            </w:r>
            <w:r w:rsidRPr="00CE2F73">
              <w:rPr>
                <w:i/>
                <w:sz w:val="24"/>
                <w:szCs w:val="24"/>
              </w:rPr>
              <w:t>Potrafi…</w:t>
            </w:r>
            <w:r w:rsidRPr="00CE2F73">
              <w:rPr>
                <w:sz w:val="24"/>
                <w:szCs w:val="24"/>
              </w:rPr>
              <w:t>)</w:t>
            </w:r>
          </w:p>
        </w:tc>
      </w:tr>
      <w:tr w:rsidR="009A5EA1" w:rsidRPr="00CE2F7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B17E21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5EA1" w:rsidRPr="00CE2F73" w:rsidRDefault="009A5EA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CE2F73">
              <w:rPr>
                <w:rFonts w:ascii="Times New Roman" w:hAnsi="Times New Roman"/>
              </w:rPr>
              <w:t>Samodzielnie zdobywa, selekcjonuje i wykorzystuje swoją wiedzę z zakresu prawa prasowego, autorskiego, własności intelektualnej oraz dostosowuje umiejętności do realizowanych zadań zawodowych.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A168DC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K1P_U03</w:t>
            </w:r>
          </w:p>
        </w:tc>
      </w:tr>
      <w:tr w:rsidR="009A5EA1" w:rsidRPr="00CE2F7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B17E21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5EA1" w:rsidRPr="00CE2F73" w:rsidRDefault="009A5EA1" w:rsidP="00E67E2C">
            <w:pPr>
              <w:jc w:val="both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Potrafi, przy formułowaniu i rozwiązywaniu zadań podczas posługiwania się nowoczesnymi technologiami informatyczno-komunikacyjnymi, poruszać się w granicach dozwolonych prawem i przestrzegać zasad etyki zawodowej.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K1P_U</w:t>
            </w:r>
            <w:r w:rsidR="004D255C" w:rsidRPr="00CE2F73">
              <w:rPr>
                <w:sz w:val="24"/>
                <w:szCs w:val="24"/>
              </w:rPr>
              <w:t>1</w:t>
            </w:r>
            <w:r w:rsidRPr="00CE2F73">
              <w:rPr>
                <w:sz w:val="24"/>
                <w:szCs w:val="24"/>
              </w:rPr>
              <w:t>2</w:t>
            </w:r>
          </w:p>
          <w:p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9A5EA1" w:rsidRPr="00CE2F73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9A5EA1" w:rsidRPr="00CE2F73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FE7FB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A5EA1" w:rsidRDefault="009A5EA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CE2F73">
              <w:rPr>
                <w:rFonts w:ascii="Times New Roman" w:hAnsi="Times New Roman"/>
              </w:rPr>
              <w:t>Potrafi w sposób powszechnie zrozumiały przekazywać otoczeniu informacje i opinie dotyczące prawa prasowego, autorskiego, ochrony własności intelektualnej, itp.</w:t>
            </w:r>
          </w:p>
          <w:p w:rsidR="00CE2F73" w:rsidRPr="00CE2F73" w:rsidRDefault="00CE2F7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K1P_K02</w:t>
            </w:r>
          </w:p>
        </w:tc>
      </w:tr>
      <w:tr w:rsidR="00F764D2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Pojęcie prasy.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Prawa i obowiązki dziennikarzy. 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Organizacja działalności prasowej. 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Sprostowania.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Dobra osobiste; pojęcie i ochrona.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Zniesławienie.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Odpowiedzialność prawna.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Plagiat; ochrona własności intelektualnej, pojęcie i rodzaje utworów.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Autorskie prawa osobiste i majątkowe; ich ochrona.</w:t>
            </w:r>
          </w:p>
          <w:p w:rsidR="00F764D2" w:rsidRPr="00CE2F73" w:rsidRDefault="00E55A6C" w:rsidP="00E55A6C">
            <w:pPr>
              <w:jc w:val="both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Prawa pokrewne.</w:t>
            </w:r>
          </w:p>
        </w:tc>
      </w:tr>
      <w:tr w:rsidR="00F764D2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E2F73" w:rsidRDefault="005D4333" w:rsidP="00E55A6C">
            <w:pPr>
              <w:snapToGrid w:val="0"/>
              <w:rPr>
                <w:sz w:val="24"/>
                <w:szCs w:val="24"/>
              </w:rPr>
            </w:pP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E2F73" w:rsidRDefault="005D4333" w:rsidP="005D4333">
            <w:pPr>
              <w:pStyle w:val="Nagwek1"/>
              <w:rPr>
                <w:szCs w:val="24"/>
              </w:rPr>
            </w:pPr>
            <w:r w:rsidRPr="00CE2F73">
              <w:rPr>
                <w:szCs w:val="24"/>
              </w:rPr>
              <w:t>Laboratorium</w:t>
            </w: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E2F7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E2F73" w:rsidRDefault="005D4333" w:rsidP="005D4333">
            <w:pPr>
              <w:pStyle w:val="Nagwek1"/>
              <w:rPr>
                <w:szCs w:val="24"/>
              </w:rPr>
            </w:pPr>
            <w:r w:rsidRPr="00CE2F73">
              <w:rPr>
                <w:szCs w:val="24"/>
              </w:rPr>
              <w:t>Projekt</w:t>
            </w: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CE2F73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CE2F7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E55A6C" w:rsidRPr="00CE2F73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A6C" w:rsidRPr="00CE2F73" w:rsidRDefault="00E55A6C" w:rsidP="005D4333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5A6C" w:rsidRPr="00CE2F73" w:rsidRDefault="00E55A6C" w:rsidP="00E67E2C">
            <w:pPr>
              <w:pStyle w:val="ListParagraph1"/>
              <w:ind w:left="0"/>
            </w:pPr>
            <w:r w:rsidRPr="00CE2F73">
              <w:t>I. Dobosz, Prawo prasowe, 2011</w:t>
            </w:r>
          </w:p>
          <w:p w:rsidR="00E55A6C" w:rsidRPr="00CE2F73" w:rsidRDefault="00E55A6C" w:rsidP="00E67E2C">
            <w:pPr>
              <w:pStyle w:val="ListParagraph1"/>
              <w:ind w:left="0"/>
            </w:pPr>
            <w:r w:rsidRPr="00CE2F73">
              <w:t>I. Dobosz, Prawo prasowe: podręcznik, 2006</w:t>
            </w:r>
          </w:p>
          <w:p w:rsidR="00E55A6C" w:rsidRPr="00CE2F73" w:rsidRDefault="00E55A6C" w:rsidP="00E67E2C">
            <w:pPr>
              <w:pStyle w:val="ListParagraph1"/>
              <w:ind w:left="0"/>
            </w:pPr>
            <w:r w:rsidRPr="00CE2F73">
              <w:t>M. Zaremba, Prawo prasowe: ujęcie praktyczne, 2007</w:t>
            </w:r>
          </w:p>
          <w:p w:rsidR="00E55A6C" w:rsidRPr="00CE2F73" w:rsidRDefault="00E55A6C" w:rsidP="00E67E2C">
            <w:pPr>
              <w:pStyle w:val="ListParagraph1"/>
              <w:ind w:left="0"/>
            </w:pPr>
            <w:r w:rsidRPr="00CE2F73">
              <w:t>J. Barta, R. Markiewicz, Prawo autorskie, 2010</w:t>
            </w:r>
          </w:p>
          <w:p w:rsidR="00E55A6C" w:rsidRPr="00CE2F73" w:rsidRDefault="00E55A6C" w:rsidP="00E67E2C">
            <w:pPr>
              <w:pStyle w:val="ListParagraph1"/>
              <w:ind w:left="0"/>
            </w:pPr>
            <w:r w:rsidRPr="00CE2F73">
              <w:t>J. Barta (red.), Prawo autorskie, 2007</w:t>
            </w:r>
          </w:p>
          <w:p w:rsidR="00CE2F73" w:rsidRPr="00CE2F73" w:rsidRDefault="00E55A6C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B. </w:t>
            </w:r>
            <w:proofErr w:type="spellStart"/>
            <w:r w:rsidRPr="00CE2F73">
              <w:rPr>
                <w:sz w:val="24"/>
                <w:szCs w:val="24"/>
              </w:rPr>
              <w:t>Porzecka</w:t>
            </w:r>
            <w:proofErr w:type="spellEnd"/>
            <w:r w:rsidRPr="00CE2F73">
              <w:rPr>
                <w:sz w:val="24"/>
                <w:szCs w:val="24"/>
              </w:rPr>
              <w:t xml:space="preserve"> (red.), Prawo autorskie i prasowe, 2006</w:t>
            </w:r>
          </w:p>
        </w:tc>
      </w:tr>
      <w:tr w:rsidR="00E55A6C" w:rsidRPr="00CE2F73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55A6C" w:rsidRPr="00CE2F73" w:rsidRDefault="00E55A6C" w:rsidP="005D4333">
            <w:pPr>
              <w:rPr>
                <w:sz w:val="24"/>
                <w:szCs w:val="24"/>
              </w:rPr>
            </w:pPr>
          </w:p>
          <w:p w:rsidR="00E55A6C" w:rsidRPr="00CE2F73" w:rsidRDefault="00E55A6C" w:rsidP="005D4333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Literatura uzupełniająca</w:t>
            </w:r>
          </w:p>
          <w:p w:rsidR="00E55A6C" w:rsidRPr="00CE2F73" w:rsidRDefault="00E55A6C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W. Lis, Prawo prasowe: komentarz, 2012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B. </w:t>
            </w:r>
            <w:proofErr w:type="spellStart"/>
            <w:r w:rsidRPr="00CE2F73">
              <w:rPr>
                <w:sz w:val="24"/>
                <w:szCs w:val="24"/>
              </w:rPr>
              <w:t>Kosmus</w:t>
            </w:r>
            <w:proofErr w:type="spellEnd"/>
            <w:r w:rsidRPr="00CE2F73">
              <w:rPr>
                <w:sz w:val="24"/>
                <w:szCs w:val="24"/>
              </w:rPr>
              <w:t>, G. Kuczyński, Prawo prasowe: komentarz, 2011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E. Ferenc-Szydełko, Prawo prasowe: komentarz, 2010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J. Sobczak, Prawo prasowe: komentarz, 2008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I. Dobosz, Prawo i etyka w zawodzie dziennikarza, 2008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E. Nowińska, Wolność wypowiedzi prasowej, 2007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J. </w:t>
            </w:r>
            <w:proofErr w:type="spellStart"/>
            <w:r w:rsidRPr="00CE2F73">
              <w:rPr>
                <w:sz w:val="24"/>
                <w:szCs w:val="24"/>
              </w:rPr>
              <w:t>Sieńczyło-Chlabicz</w:t>
            </w:r>
            <w:proofErr w:type="spellEnd"/>
            <w:r w:rsidRPr="00CE2F73">
              <w:rPr>
                <w:sz w:val="24"/>
                <w:szCs w:val="24"/>
              </w:rPr>
              <w:t>, Naruszenie prywatności osób publicznych przez prasę. Analiza cywilnoprawna, 2006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P. Wasilewski, Wolność prasowej wypowiedzi satyrycznej. Studium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cywilistyczne na tle porównawczym, 2012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A. Karpowicz, Prawo autorskie i prasowe dla dziennikarzy, 1996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E. Góra, M. Kotula, Prawo autorskie i prawa pokrewne, 2001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L. Małek, Cytat w świetle prawa autorskiego, 2011</w:t>
            </w:r>
          </w:p>
          <w:p w:rsidR="00CE2F73" w:rsidRPr="00CE2F73" w:rsidRDefault="00E55A6C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D. Flisak, Utwór multimedialny w prawie autorskim, 2008</w:t>
            </w:r>
          </w:p>
        </w:tc>
      </w:tr>
    </w:tbl>
    <w:p w:rsidR="00F764D2" w:rsidRPr="00CE2F73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64657B" w:rsidRPr="00CE2F73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657B" w:rsidRPr="00CE2F73" w:rsidRDefault="0064657B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57B" w:rsidRPr="00CE2F73" w:rsidRDefault="0064657B" w:rsidP="00E67E2C">
            <w:pPr>
              <w:snapToGrid w:val="0"/>
              <w:rPr>
                <w:sz w:val="24"/>
                <w:szCs w:val="24"/>
              </w:rPr>
            </w:pPr>
          </w:p>
          <w:p w:rsidR="0064657B" w:rsidRPr="00CE2F73" w:rsidRDefault="00E55A6C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Prezentacja multimedialna, dyskusja, dydaktyczna metoda przypadków </w:t>
            </w:r>
          </w:p>
        </w:tc>
      </w:tr>
      <w:tr w:rsidR="0064657B" w:rsidRPr="00CE2F73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657B" w:rsidRPr="00CE2F73" w:rsidRDefault="0064657B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4657B" w:rsidRPr="00CE2F73" w:rsidRDefault="00A80FBA" w:rsidP="00DE110F">
            <w:pPr>
              <w:jc w:val="center"/>
              <w:rPr>
                <w:sz w:val="24"/>
                <w:szCs w:val="24"/>
              </w:rPr>
            </w:pPr>
            <w:r w:rsidRPr="00A80FBA">
              <w:rPr>
                <w:sz w:val="22"/>
                <w:szCs w:val="22"/>
              </w:rPr>
              <w:t>Nr efektu uczenia się/ grupy efektów</w:t>
            </w:r>
          </w:p>
        </w:tc>
      </w:tr>
      <w:tr w:rsidR="00E55A6C" w:rsidRPr="00CE2F73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01, 03, 04 </w:t>
            </w:r>
          </w:p>
        </w:tc>
      </w:tr>
      <w:tr w:rsidR="00E55A6C" w:rsidRPr="00CE2F73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Udział w dyskusji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02, 03</w:t>
            </w:r>
          </w:p>
        </w:tc>
      </w:tr>
      <w:tr w:rsidR="00E55A6C" w:rsidRPr="00CE2F73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Analiza podanego przykładu</w:t>
            </w:r>
          </w:p>
          <w:p w:rsidR="00E55A6C" w:rsidRPr="00CE2F73" w:rsidRDefault="00E55A6C" w:rsidP="00E67E2C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01, 02, 03</w:t>
            </w:r>
          </w:p>
        </w:tc>
      </w:tr>
      <w:tr w:rsidR="0064657B" w:rsidRPr="00CE2F73" w:rsidTr="007B7A39">
        <w:trPr>
          <w:cantSplit/>
          <w:trHeight w:val="594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657B" w:rsidRPr="007B7A39" w:rsidRDefault="0064657B" w:rsidP="007B7A39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lastRenderedPageBreak/>
              <w:t>Forma i warunki zaliczeni</w:t>
            </w:r>
            <w:r w:rsidR="007B7A39">
              <w:rPr>
                <w:sz w:val="24"/>
                <w:szCs w:val="24"/>
              </w:rPr>
              <w:t>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E2F73" w:rsidRPr="007B7A39" w:rsidRDefault="00E55A6C" w:rsidP="007B7A39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Egzamin</w:t>
            </w:r>
            <w:r w:rsidR="007B7A39">
              <w:rPr>
                <w:sz w:val="24"/>
                <w:szCs w:val="24"/>
              </w:rPr>
              <w:t>: kolokwium</w:t>
            </w:r>
          </w:p>
        </w:tc>
      </w:tr>
    </w:tbl>
    <w:p w:rsidR="00A80FBA" w:rsidRDefault="00A80FBA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80FBA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80FBA" w:rsidRPr="004E4867" w:rsidRDefault="00A80FBA" w:rsidP="00E6595D">
            <w:pPr>
              <w:jc w:val="center"/>
              <w:rPr>
                <w:b/>
              </w:rPr>
            </w:pPr>
          </w:p>
          <w:p w:rsidR="00A80FBA" w:rsidRPr="004E4867" w:rsidRDefault="00A80FBA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A80FBA" w:rsidRPr="004E4867" w:rsidRDefault="00A80FBA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A80FBA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80FBA" w:rsidRPr="004E4867" w:rsidRDefault="00A80FBA" w:rsidP="00E6595D">
            <w:pPr>
              <w:jc w:val="center"/>
              <w:rPr>
                <w:sz w:val="24"/>
                <w:szCs w:val="24"/>
              </w:rPr>
            </w:pPr>
          </w:p>
          <w:p w:rsidR="00A80FBA" w:rsidRPr="004E4867" w:rsidRDefault="00A80FBA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80FBA" w:rsidRPr="004E4867" w:rsidRDefault="00A80FBA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  <w:vMerge/>
          </w:tcPr>
          <w:p w:rsidR="00A80FBA" w:rsidRPr="004E4867" w:rsidRDefault="00A80FBA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80FBA" w:rsidRPr="004E4867" w:rsidRDefault="00A80FBA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A80FBA" w:rsidRPr="004E4867" w:rsidRDefault="00A80FBA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80FBA" w:rsidRPr="00CE2F73" w:rsidRDefault="00A80FBA" w:rsidP="00E6595D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80FBA" w:rsidRPr="00CE2F73" w:rsidRDefault="00A80FBA" w:rsidP="00E6595D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80FBA" w:rsidRPr="00CE2F73" w:rsidRDefault="00A80FBA" w:rsidP="00E6595D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A80FBA" w:rsidRPr="004E4867" w:rsidRDefault="00A80FBA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80FBA" w:rsidRPr="00CE2F73" w:rsidRDefault="00A80FBA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80FBA" w:rsidRPr="004E4867" w:rsidRDefault="00A80FBA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80FBA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80FBA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0FBA" w:rsidRPr="00CE2F73" w:rsidRDefault="00A80FBA" w:rsidP="00E6595D">
            <w:pPr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0FBA" w:rsidRPr="00CE2F73" w:rsidRDefault="00A80FBA" w:rsidP="00E6595D">
            <w:pPr>
              <w:rPr>
                <w:b/>
                <w:sz w:val="24"/>
                <w:szCs w:val="24"/>
              </w:rPr>
            </w:pPr>
          </w:p>
          <w:p w:rsidR="00A80FBA" w:rsidRPr="00CE2F73" w:rsidRDefault="007B7A39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0FBA" w:rsidRPr="00CE2F73" w:rsidRDefault="007B7A39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A80FBA" w:rsidRPr="00CE2F73" w:rsidRDefault="00A80FBA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80FBA" w:rsidRDefault="00A80FBA" w:rsidP="00F764D2">
      <w:pPr>
        <w:rPr>
          <w:sz w:val="24"/>
          <w:szCs w:val="24"/>
        </w:rPr>
      </w:pPr>
    </w:p>
    <w:p w:rsidR="00A80FBA" w:rsidRDefault="00A80FBA" w:rsidP="00F764D2">
      <w:pPr>
        <w:rPr>
          <w:sz w:val="24"/>
          <w:szCs w:val="24"/>
        </w:rPr>
      </w:pPr>
    </w:p>
    <w:p w:rsidR="00A80FBA" w:rsidRDefault="00A80FBA" w:rsidP="00F764D2">
      <w:pPr>
        <w:rPr>
          <w:sz w:val="24"/>
          <w:szCs w:val="24"/>
        </w:rPr>
      </w:pPr>
    </w:p>
    <w:p w:rsidR="00A80FBA" w:rsidRPr="00CE2F73" w:rsidRDefault="00A80FBA" w:rsidP="00F764D2">
      <w:pPr>
        <w:rPr>
          <w:sz w:val="24"/>
          <w:szCs w:val="24"/>
        </w:rPr>
      </w:pPr>
    </w:p>
    <w:p w:rsidR="00F764D2" w:rsidRPr="00CE2F73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CE2F73" w:rsidRDefault="00F764D2" w:rsidP="00F764D2">
      <w:pPr>
        <w:rPr>
          <w:sz w:val="24"/>
          <w:szCs w:val="24"/>
        </w:rPr>
      </w:pPr>
    </w:p>
    <w:p w:rsidR="00F764D2" w:rsidRPr="00CE2F73" w:rsidRDefault="00F764D2" w:rsidP="00F764D2">
      <w:pPr>
        <w:rPr>
          <w:sz w:val="24"/>
          <w:szCs w:val="24"/>
        </w:rPr>
      </w:pPr>
    </w:p>
    <w:p w:rsidR="00AD53A7" w:rsidRPr="00CE2F73" w:rsidRDefault="00AD53A7">
      <w:pPr>
        <w:rPr>
          <w:sz w:val="24"/>
          <w:szCs w:val="24"/>
        </w:rPr>
      </w:pPr>
    </w:p>
    <w:sectPr w:rsidR="00AD53A7" w:rsidRPr="00CE2F73" w:rsidSect="007B7A39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B7C88"/>
    <w:rsid w:val="000F7F36"/>
    <w:rsid w:val="00220076"/>
    <w:rsid w:val="002830E6"/>
    <w:rsid w:val="002D0A00"/>
    <w:rsid w:val="002D42A7"/>
    <w:rsid w:val="00333843"/>
    <w:rsid w:val="00334968"/>
    <w:rsid w:val="003B54A0"/>
    <w:rsid w:val="003C0B22"/>
    <w:rsid w:val="003F531A"/>
    <w:rsid w:val="00415E69"/>
    <w:rsid w:val="00423FC5"/>
    <w:rsid w:val="00454F06"/>
    <w:rsid w:val="004D255C"/>
    <w:rsid w:val="005D4333"/>
    <w:rsid w:val="00643C83"/>
    <w:rsid w:val="0064657B"/>
    <w:rsid w:val="0066591F"/>
    <w:rsid w:val="006C7F90"/>
    <w:rsid w:val="00715953"/>
    <w:rsid w:val="0076140F"/>
    <w:rsid w:val="007B7A39"/>
    <w:rsid w:val="0086215D"/>
    <w:rsid w:val="009759A3"/>
    <w:rsid w:val="009A5EA1"/>
    <w:rsid w:val="00A168DC"/>
    <w:rsid w:val="00A80FBA"/>
    <w:rsid w:val="00AC0832"/>
    <w:rsid w:val="00AD53A7"/>
    <w:rsid w:val="00B17E21"/>
    <w:rsid w:val="00B47283"/>
    <w:rsid w:val="00B50FD5"/>
    <w:rsid w:val="00B523B9"/>
    <w:rsid w:val="00BB3F93"/>
    <w:rsid w:val="00BE44E9"/>
    <w:rsid w:val="00CE2F73"/>
    <w:rsid w:val="00DD04E1"/>
    <w:rsid w:val="00E11443"/>
    <w:rsid w:val="00E55A6C"/>
    <w:rsid w:val="00ED12CF"/>
    <w:rsid w:val="00EF127E"/>
    <w:rsid w:val="00F06CE7"/>
    <w:rsid w:val="00F17F67"/>
    <w:rsid w:val="00F30147"/>
    <w:rsid w:val="00F764D2"/>
    <w:rsid w:val="00FB160D"/>
    <w:rsid w:val="00FE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649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11</cp:revision>
  <dcterms:created xsi:type="dcterms:W3CDTF">2019-05-08T05:17:00Z</dcterms:created>
  <dcterms:modified xsi:type="dcterms:W3CDTF">2019-09-08T20:17:00Z</dcterms:modified>
</cp:coreProperties>
</file>